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eee5bfe42f774061"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46323</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DJEČJI VRTIĆ POTOČIĆ PISAROVINA</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21</w:t>
            </w:r>
          </w:p>
        </w:tc>
      </w:tr>
    </w:tbl>
    <w:p>
      <w:r>
        <w:br/>
      </w:r>
    </w:p>
    <w:p>
      <w:pPr>
        <w:jc w:val="center"/>
        <w:pStyle w:val="Normal"/>
        <w:spacing w:line="240" w:lineRule="auto"/>
      </w:pPr>
      <w:r>
        <w:rPr>
          <w:b/>
          <w:sz w:val="28"/>
          <w:rFonts w:ascii="Times New Roman" w:hAnsi="Times New Roman"/>
        </w:rPr>
        <w:t>BILJEŠKE UZ FINANCIJSKE IZVJEŠTAJE</w:t>
      </w:r>
    </w:p>
    <w:p>
      <w:pPr>
        <w:jc w:val="center"/>
        <w:pStyle w:val="Normal"/>
        <w:spacing w:line="240" w:lineRule="auto"/>
      </w:pPr>
      <w:r>
        <w:rPr>
          <w:b/>
          <w:sz w:val="28"/>
          <w:rFonts w:ascii="Times New Roman" w:hAnsi="Times New Roman"/>
        </w:rPr>
        <w:t>ZA RAZDOBLJE</w:t>
      </w:r>
    </w:p>
    <w:p>
      <w:pPr>
        <w:jc w:val="center"/>
        <w:pStyle w:val="Normal"/>
        <w:spacing w:line="240" w:lineRule="auto"/>
      </w:pPr>
      <w:r>
        <w:rPr>
          <w:b/>
          <w:sz w:val="28"/>
          <w:rFonts w:ascii="Times New Roman" w:hAnsi="Times New Roman"/>
        </w:rPr>
        <w:t>I - VI 2025.</w:t>
      </w:r>
    </w:p>
    <w:p/>
    <w:p>
      <w:pPr>
        <w:jc w:val="center"/>
        <w:pStyle w:val="Normal"/>
        <w:spacing w:line="240" w:lineRule="auto"/>
        <w:keepNext/>
      </w:pPr>
      <w:r>
        <w:rPr>
          <w:b/>
          <w:sz w:val="28"/>
          <w:rFonts w:ascii="Times New Roman" w:hAnsi="Times New Roman"/>
        </w:rPr>
        <w:t>Izvještaj o prihodima i rashodima, primicima i izdacima</w:t>
      </w:r>
    </w:p>
    <w:p>
      <w:pPr>
        <w:jc w:val="center"/>
        <w:pStyle w:val="Normal"/>
        <w:spacing w:line="240" w:lineRule="auto"/>
        <w:keepNext/>
      </w:pPr>
      <w:r>
        <w:rPr>
          <w:sz w:val="28"/>
          <w:rFonts w:ascii="Times New Roman" w:hAnsi="Times New Roman"/>
        </w:rPr>
        <w:t>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260.097,00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360.421,47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267.731,21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370.052,11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7.634,21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9.630,64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126,2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1.661,93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2.695,86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162,2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1.661,93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2.695,86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162,2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9.296,14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12.326,50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132,6</w:t>
            </w:r>
          </w:p>
        </w:tc>
      </w:tr>
    </w:tbl>
    <w:p>
      <w:pPr>
        <w:spacing w:before="0" w:after="0"/>
      </w:pPr>
    </w:p>
    <w:p>
      <w:pPr>
        <w:jc w:val="both"/>
        <w:pStyle w:val="Normal"/>
        <w:spacing w:line="240" w:lineRule="auto"/>
      </w:pPr>
      <w:r>
        <w:rPr>
          <w:sz w:val="24"/>
          <w:rFonts w:ascii="Times New Roman" w:hAnsi="Times New Roman"/>
        </w:rPr>
        <w:t>Dječji vrtić Potočić Pisarovina u izvještajnom razdoblju od 1. siječnja do 30. lipnja 2025. godine ostvario je ukupne prihode u iznosu od 360.421,47 eura, dok ukupni rashodi iznose 372.747,97  eura. ( 3 - Rashodi poslovanja u iznosu 370.052,11eura, te 4 Rashodi za nabavz nefinacijske imovine u iznosu od 2.695,86 €).
Za navedeno razdoblje ostvaren je manjak prihoda i primitaka u iznosu od 12.326,50 eura.
Budući da je iz prethodne godine (2024.) prenesen manjak prihoda i primitaka u iznosu od 57.521,92 eura, ukupni manjak za pokriće u sljedećem razdoblju iznosi 69.848,42 eura.
Navedeni manjak djelomično će se pokriti prihodima iz nadležnog proračuna za financiranje rashoda poslovanja. Naime, vrtić ostvaruje prihod od Općine Pisarovina za financiranje rashoda za plaće za lipanj 2025. godine, koji će biti isplaćen i knjižen u srpnju 2025. godine, sukladno novčanom načelu priznavanja prihoda.
Preostali dio manjka planira se pokriti uplatama roditelja, temeljem dugovanja za sufinanciranje smještaja djece u dječjem vrtiću.
</w:t>
      </w:r>
    </w:p>
    <w:p>
      <w:r>
        <w:br/>
      </w:r>
    </w:p>
    <w:p>
      <w:pPr>
        <w:jc w:val="center"/>
        <w:pStyle w:val="Normal"/>
        <w:spacing w:line="240" w:lineRule="auto"/>
        <w:keepNext/>
      </w:pPr>
      <w:r>
        <w:rPr>
          <w:sz w:val="28"/>
          <w:rFonts w:ascii="Times New Roman" w:hAnsi="Times New Roman"/>
        </w:rPr>
        <w:t>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260.097,00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360.421,47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138,6</w:t>
            </w:r>
          </w:p>
        </w:tc>
      </w:tr>
    </w:tbl>
    <w:p>
      <w:pPr>
        <w:spacing w:before="0" w:after="0"/>
      </w:pPr>
    </w:p>
    <w:p>
      <w:pPr>
        <w:jc w:val="both"/>
        <w:pStyle w:val="Normal"/>
        <w:spacing w:line="240" w:lineRule="auto"/>
      </w:pPr>
      <w:r>
        <w:rPr>
          <w:sz w:val="24"/>
          <w:rFonts w:ascii="Times New Roman" w:hAnsi="Times New Roman"/>
        </w:rPr>
        <w:t>Prihodi poslovanja Dječjeg vrtića Potočić Pisarovina u razdoblju od 1. siječnja do 30. lipnja 2025. godine iznose ukupno 360.421,47 eura, što predstavlja porast od 38,6 % u odnosu na isto razdoblje prethodne godine. Glavni razlog povećanja prihoda je povećanje ekonomske cijene vrtića.
</w:t>
      </w:r>
    </w:p>
    <w:p/>
    <w:p>
      <w:pPr>
        <w:jc w:val="center"/>
        <w:pStyle w:val="Normal"/>
        <w:spacing w:line="240" w:lineRule="auto"/>
        <w:keepNext/>
      </w:pPr>
      <w:r>
        <w:rPr>
          <w:sz w:val="28"/>
          <w:rFonts w:ascii="Times New Roman" w:hAnsi="Times New Roman"/>
        </w:rPr>
        <w:t>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te pruženih usluga (šifre 6614+6615)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1.282,50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28,1</w:t>
            </w:r>
          </w:p>
        </w:tc>
      </w:tr>
    </w:tbl>
    <w:p>
      <w:pPr>
        <w:spacing w:before="0" w:after="0"/>
      </w:pPr>
    </w:p>
    <w:p>
      <w:pPr>
        <w:jc w:val="both"/>
        <w:pStyle w:val="Normal"/>
        <w:spacing w:line="240" w:lineRule="auto"/>
      </w:pPr>
      <w:r>
        <w:rPr>
          <w:sz w:val="24"/>
          <w:rFonts w:ascii="Times New Roman" w:hAnsi="Times New Roman"/>
        </w:rPr>
        <w:t>Prihodi od pruženih usluga u iznosu od 360,00 eura odnose se na najam prostora za provedbu aktivnosti engleskog jezika.
</w:t>
      </w:r>
    </w:p>
    <w:p/>
    <w:p>
      <w:pPr>
        <w:jc w:val="center"/>
        <w:pStyle w:val="Normal"/>
        <w:spacing w:line="240" w:lineRule="auto"/>
        <w:keepNext/>
      </w:pPr>
      <w:r>
        <w:rPr>
          <w:sz w:val="28"/>
          <w:rFonts w:ascii="Times New Roman" w:hAnsi="Times New Roman"/>
        </w:rPr>
        <w:t>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redovne djelatnosti proračunskih korisnika (šifre 6711 do 6714)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202.794,54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296.713,04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146,3</w:t>
            </w:r>
          </w:p>
        </w:tc>
      </w:tr>
    </w:tbl>
    <w:p>
      <w:pPr>
        <w:spacing w:before="0" w:after="0"/>
      </w:pPr>
    </w:p>
    <w:p>
      <w:pPr>
        <w:jc w:val="both"/>
        <w:pStyle w:val="Normal"/>
        <w:spacing w:line="240" w:lineRule="auto"/>
      </w:pPr>
      <w:r>
        <w:rPr>
          <w:sz w:val="24"/>
          <w:rFonts w:ascii="Times New Roman" w:hAnsi="Times New Roman"/>
        </w:rPr>
        <w:t>Prihode iz proračuna čine prihodi za financiranje rashoda poslovanja u iznosu od 296.713,04 eura.
Ti su se prihodi povećali za 46,3 % u odnosu na isto razdoblje prethodne godine, zbog povećanja ekonomske cijene vrtića, koju djelomično pokriva Općina Pisarovina, čime je i ukupan iznos sufinanciranja porastao.
</w:t>
      </w:r>
    </w:p>
    <w:p/>
    <w:p>
      <w:pPr>
        <w:jc w:val="center"/>
        <w:pStyle w:val="Normal"/>
        <w:spacing w:line="240" w:lineRule="auto"/>
        <w:keepNext/>
      </w:pPr>
      <w:r>
        <w:rPr>
          <w:sz w:val="28"/>
          <w:rFonts w:ascii="Times New Roman" w:hAnsi="Times New Roman"/>
        </w:rPr>
        <w:t>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211.720,36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307.271,95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145,1</w:t>
            </w:r>
          </w:p>
        </w:tc>
      </w:tr>
    </w:tbl>
    <w:p>
      <w:pPr>
        <w:spacing w:before="0" w:after="0"/>
      </w:pPr>
    </w:p>
    <w:p>
      <w:pPr>
        <w:jc w:val="both"/>
        <w:pStyle w:val="Normal"/>
        <w:spacing w:line="240" w:lineRule="auto"/>
      </w:pPr>
      <w:r>
        <w:rPr>
          <w:sz w:val="24"/>
          <w:rFonts w:ascii="Times New Roman" w:hAnsi="Times New Roman"/>
        </w:rPr>
        <w:t>Do povećanja rashoda za zaposlene u odnosu na prethodno razdoblje je došlo zbog povećanja plaća djelatnicima početkom 2025.godine (plaće uskađene sa Odlukom o visini osnovice za obračun plaće u javnim službama u 2025. godini koju je donijela Vlada Republike Hrvatske).
 Troškovi prekovremenog rada su nastali zbog dodatnog rada jedne tete u Programu predškole. Ostali rashodi za zaposlene isplaćeni u 2025. godini su uskrsnica, regres te mjesečna naknada za prehranu.</w:t>
      </w:r>
    </w:p>
    <w:p/>
    <w:p>
      <w:pPr>
        <w:jc w:val="center"/>
        <w:pStyle w:val="Normal"/>
        <w:spacing w:line="240" w:lineRule="auto"/>
        <w:keepNext/>
      </w:pPr>
      <w:r>
        <w:rPr>
          <w:sz w:val="28"/>
          <w:rFonts w:ascii="Times New Roman" w:hAnsi="Times New Roman"/>
        </w:rPr>
        <w:t>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Materijalni rashodi (šifre 321+322+323+324+325+329)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56.000,89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62.771,86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112,1</w:t>
            </w:r>
          </w:p>
        </w:tc>
      </w:tr>
    </w:tbl>
    <w:p>
      <w:pPr>
        <w:spacing w:before="0" w:after="0"/>
      </w:pPr>
    </w:p>
    <w:p>
      <w:pPr>
        <w:jc w:val="both"/>
        <w:pStyle w:val="Normal"/>
        <w:spacing w:line="240" w:lineRule="auto"/>
      </w:pPr>
      <w:r>
        <w:rPr>
          <w:sz w:val="24"/>
          <w:rFonts w:ascii="Times New Roman" w:hAnsi="Times New Roman"/>
        </w:rPr>
        <w:t>Materijalni rashodi su ostvareni 112,1 % u odnosu na prošlu godinu, a došlo je do povećanja naknada za prijevoz.</w:t>
      </w:r>
    </w:p>
    <w:p/>
    <w:p>
      <w:pPr>
        <w:jc w:val="center"/>
        <w:pStyle w:val="Normal"/>
        <w:spacing w:line="240" w:lineRule="auto"/>
        <w:keepNext/>
      </w:pPr>
      <w:r>
        <w:rPr>
          <w:sz w:val="28"/>
          <w:rFonts w:ascii="Times New Roman" w:hAnsi="Times New Roman"/>
        </w:rPr>
        <w:t>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usluge (šifre 3231 do 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11.187,00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12.044,18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107,7</w:t>
            </w:r>
          </w:p>
        </w:tc>
      </w:tr>
    </w:tbl>
    <w:p>
      <w:pPr>
        <w:spacing w:before="0" w:after="0"/>
      </w:pPr>
    </w:p>
    <w:p>
      <w:pPr>
        <w:jc w:val="both"/>
        <w:pStyle w:val="Normal"/>
        <w:spacing w:line="240" w:lineRule="auto"/>
      </w:pPr>
      <w:r>
        <w:rPr>
          <w:sz w:val="24"/>
          <w:rFonts w:ascii="Times New Roman" w:hAnsi="Times New Roman"/>
        </w:rPr>
        <w:t>Rashodi za usluge su veći za 7,7 % u odnosu na prošlogodišnje odnosno izvršeni su u iznosu od 12.044,18 €. </w:t>
      </w:r>
    </w:p>
    <w:p/>
    <w:p>
      <w:pPr>
        <w:jc w:val="center"/>
        <w:pStyle w:val="Normal"/>
        <w:spacing w:line="240" w:lineRule="auto"/>
        <w:keepNext/>
      </w:pPr>
      <w:r>
        <w:rPr>
          <w:sz w:val="28"/>
          <w:rFonts w:ascii="Times New Roman" w:hAnsi="Times New Roman"/>
        </w:rPr>
        <w:t>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(šifre 3291 do 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1.373,22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1.599,76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116,5</w:t>
            </w:r>
          </w:p>
        </w:tc>
      </w:tr>
    </w:tbl>
    <w:p>
      <w:pPr>
        <w:spacing w:before="0" w:after="0"/>
      </w:pPr>
    </w:p>
    <w:p>
      <w:pPr>
        <w:jc w:val="both"/>
        <w:pStyle w:val="Normal"/>
        <w:spacing w:line="240" w:lineRule="auto"/>
      </w:pPr>
      <w:r>
        <w:rPr>
          <w:sz w:val="24"/>
          <w:rFonts w:ascii="Times New Roman" w:hAnsi="Times New Roman"/>
        </w:rPr>
        <w:t>Ostali nespomenuti rashodi poslovanja su veći za 16,5 % u odnosu na prošlu godinu te su izvršeni u iznosu od 1.599,76 €.</w:t>
      </w:r>
    </w:p>
    <w:p/>
    <w:p>
      <w:pPr>
        <w:jc w:val="center"/>
        <w:pStyle w:val="Normal"/>
        <w:spacing w:line="240" w:lineRule="auto"/>
        <w:keepNext/>
      </w:pPr>
      <w:r>
        <w:rPr>
          <w:sz w:val="28"/>
          <w:rFonts w:ascii="Times New Roman" w:hAnsi="Times New Roman"/>
        </w:rPr>
        <w:t>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Financijski rashodi (šifre 341+342+343)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83,3</w:t>
            </w:r>
          </w:p>
        </w:tc>
      </w:tr>
    </w:tbl>
    <w:p>
      <w:pPr>
        <w:spacing w:before="0" w:after="0"/>
      </w:pPr>
    </w:p>
    <w:p>
      <w:pPr>
        <w:jc w:val="both"/>
        <w:pStyle w:val="Normal"/>
        <w:spacing w:line="240" w:lineRule="auto"/>
      </w:pPr>
      <w:r>
        <w:rPr>
          <w:sz w:val="24"/>
          <w:rFonts w:ascii="Times New Roman" w:hAnsi="Times New Roman"/>
        </w:rPr>
        <w:t>Ostali financijski rashodi su izvršeni u iznosu od 8,30 €, a odnose se na troškove certifikata od FINA-e i troškova usluge e-računa.</w:t>
      </w:r>
    </w:p>
    <w:p/>
    <w:p>
      <w:pPr>
        <w:jc w:val="center"/>
        <w:pStyle w:val="Normal"/>
        <w:spacing w:line="240" w:lineRule="auto"/>
        <w:keepNext/>
      </w:pPr>
      <w:r>
        <w:rPr>
          <w:sz w:val="28"/>
          <w:rFonts w:ascii="Times New Roman" w:hAnsi="Times New Roman"/>
        </w:rPr>
        <w:t>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7.634,21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9.630,64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126,2</w:t>
            </w:r>
          </w:p>
        </w:tc>
      </w:tr>
    </w:tbl>
    <w:p>
      <w:pPr>
        <w:spacing w:before="0" w:after="0"/>
      </w:pPr>
    </w:p>
    <w:p>
      <w:pPr>
        <w:jc w:val="both"/>
        <w:pStyle w:val="Normal"/>
        <w:spacing w:line="240" w:lineRule="auto"/>
      </w:pPr>
      <w:r>
        <w:rPr>
          <w:sz w:val="24"/>
          <w:rFonts w:ascii="Times New Roman" w:hAnsi="Times New Roman"/>
        </w:rPr>
        <w:t>Ostvaren je manjak prihoda poslovanja od 9.630,64 €.</w:t>
      </w:r>
    </w:p>
    <w:p/>
    <w:p>
      <w:pPr>
        <w:jc w:val="center"/>
        <w:pStyle w:val="Normal"/>
        <w:spacing w:line="240" w:lineRule="auto"/>
        <w:keepNext/>
      </w:pPr>
      <w:r>
        <w:rPr>
          <w:sz w:val="28"/>
          <w:rFonts w:ascii="Times New Roman" w:hAnsi="Times New Roman"/>
        </w:rPr>
        <w:t>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1.661,93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2.695,86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162,2</w:t>
            </w:r>
          </w:p>
        </w:tc>
      </w:tr>
    </w:tbl>
    <w:p>
      <w:pPr>
        <w:spacing w:before="0" w:after="0"/>
      </w:pPr>
    </w:p>
    <w:p>
      <w:pPr>
        <w:jc w:val="both"/>
        <w:pStyle w:val="Normal"/>
        <w:spacing w:line="240" w:lineRule="auto"/>
      </w:pPr>
      <w:r>
        <w:rPr>
          <w:sz w:val="24"/>
          <w:rFonts w:ascii="Times New Roman" w:hAnsi="Times New Roman"/>
        </w:rPr>
        <w:t>Rashodi za nabavu nefinancijske imovine u iznosu od 2.695,86 eura odnose se na nabavu opreme i materijala za rad s djecom, potrebnih za provedbu likovne i plesne radionice.
</w:t>
      </w:r>
    </w:p>
    <w:p/>
    <w:p>
      <w:pPr>
        <w:jc w:val="center"/>
        <w:pStyle w:val="Normal"/>
        <w:spacing w:line="240" w:lineRule="auto"/>
        <w:keepNext/>
      </w:pPr>
      <w:r>
        <w:rPr>
          <w:sz w:val="28"/>
          <w:rFonts w:ascii="Times New Roman" w:hAnsi="Times New Roman"/>
        </w:rPr>
        <w:t>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UKUPAN MANJAK PRIHODA (šifre Y034-X067)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9.296,14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12.326,50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132,6</w:t>
            </w:r>
          </w:p>
        </w:tc>
      </w:tr>
    </w:tbl>
    <w:p>
      <w:pPr>
        <w:spacing w:before="0" w:after="0"/>
      </w:pPr>
    </w:p>
    <w:p>
      <w:pPr>
        <w:jc w:val="both"/>
        <w:pStyle w:val="Normal"/>
        <w:spacing w:line="240" w:lineRule="auto"/>
      </w:pPr>
      <w:r>
        <w:rPr>
          <w:sz w:val="24"/>
          <w:rFonts w:ascii="Times New Roman" w:hAnsi="Times New Roman"/>
        </w:rPr>
        <w:t>Ukupni prihodi i primici iznose 360.421,47 €, a ukupni rashodi i izdaci 372.747,97 €, te je za period 01.01.-30.06.2025. godine ostvaren manjak prihoda i primitaka od 12.326,50 €. </w:t>
      </w:r>
    </w:p>
    <w:p/>
    <w:p>
      <w:pPr>
        <w:jc w:val="center"/>
        <w:pStyle w:val="Normal"/>
        <w:spacing w:line="240" w:lineRule="auto"/>
        <w:keepNext/>
      </w:pPr>
      <w:r>
        <w:rPr>
          <w:sz w:val="28"/>
          <w:rFonts w:ascii="Times New Roman" w:hAnsi="Times New Roman"/>
        </w:rPr>
        <w:t>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9.296,14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12.326,50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132,6</w:t>
            </w:r>
          </w:p>
        </w:tc>
      </w:tr>
    </w:tbl>
    <w:p>
      <w:pPr>
        <w:spacing w:before="0" w:after="0"/>
      </w:pPr>
    </w:p>
    <w:p>
      <w:pPr>
        <w:jc w:val="both"/>
        <w:pStyle w:val="Normal"/>
        <w:spacing w:line="240" w:lineRule="auto"/>
      </w:pPr>
      <w:r>
        <w:rPr>
          <w:sz w:val="24"/>
          <w:rFonts w:ascii="Times New Roman" w:hAnsi="Times New Roman"/>
        </w:rPr>
        <w:t>Manjak prihoda i primitaka za razdoblje od 1. siječnja do 30. lipnja 2025. godine iznosi 12.326,50 eura, dok manjak prenesen iz 2024. godine iznosi 57.521,92 eura. Ukupno, manjak prihoda i primitaka za pokriće u sljedećem razdoblju iznosi 69.848,42 eura.
Dio navedenog manjka planira se pokrivati prihodima iz nadležnog proračuna za financiranje rashoda poslovanja, konkretno iz prihoda Općine Pisarovina za isplatu plaća za lipanj 2025. godine, koji će biti ostvareni i knjiženi u srpnju 2025. godine prema načelu primitaka po novčanom toku.
Preostali dio manjka planira se pokrivati uplatama roditelja, temeljem dugovanja za sufinanciranje smještaja djece u vrtiću.
</w:t>
      </w:r>
    </w:p>
    <w:p/>
    <w:p>
      <w:pPr>
        <w:jc w:val="center"/>
        <w:pStyle w:val="Normal"/>
        <w:spacing w:line="240" w:lineRule="auto"/>
        <w:keepNext/>
      </w:pPr>
      <w:r>
        <w:rPr>
          <w:b/>
          <w:sz w:val="28"/>
          <w:rFonts w:ascii="Times New Roman" w:hAnsi="Times New Roman"/>
        </w:rPr>
        <w:t>Izvještaj o obvezama</w:t>
      </w:r>
    </w:p>
    <w:p>
      <w:pPr>
        <w:jc w:val="center"/>
        <w:pStyle w:val="Normal"/>
        <w:spacing w:line="240" w:lineRule="auto"/>
        <w:keepNext/>
      </w:pPr>
      <w:r>
        <w:rPr>
          <w:sz w:val="28"/>
          <w:rFonts w:ascii="Times New Roman" w:hAnsi="Times New Roman"/>
        </w:rPr>
        <w:t>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 (šifre N231 do N239)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367.219,17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Obveze za rashode poslovanja povećale su se u izvještajnom razdoblju i iznose     367.219,17 €.
</w:t>
      </w:r>
    </w:p>
    <w:p/>
    <w:p>
      <w:pPr>
        <w:jc w:val="center"/>
        <w:pStyle w:val="Normal"/>
        <w:spacing w:line="240" w:lineRule="auto"/>
        <w:keepNext/>
      </w:pPr>
      <w:r>
        <w:rPr>
          <w:sz w:val="28"/>
          <w:rFonts w:ascii="Times New Roman" w:hAnsi="Times New Roman"/>
        </w:rPr>
        <w:t>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 (šifre P231 do P239)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358.030,18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Obveze za rashode poslovanja podmirene su u izvještajnom razdoblju u iznosu od 358.030,18 €.</w:t>
      </w:r>
    </w:p>
    <w:p/>
    <w:p>
      <w:pPr>
        <w:jc w:val="center"/>
        <w:pStyle w:val="Normal"/>
        <w:spacing w:line="240" w:lineRule="auto"/>
        <w:keepNext/>
      </w:pPr>
      <w:r>
        <w:rPr>
          <w:sz w:val="28"/>
          <w:rFonts w:ascii="Times New Roman" w:hAnsi="Times New Roman"/>
        </w:rPr>
        <w:t>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Obveze za nabavu nefinancijske imovine povećane su u izvještajnom razdoblju za 1.550,00 €.</w:t>
      </w:r>
    </w:p>
    <w:p/>
    <w:p>
      <w:pPr>
        <w:jc w:val="center"/>
        <w:pStyle w:val="Normal"/>
        <w:spacing w:line="240" w:lineRule="auto"/>
        <w:keepNext/>
      </w:pPr>
      <w:r>
        <w:rPr>
          <w:sz w:val="28"/>
          <w:rFonts w:ascii="Times New Roman" w:hAnsi="Times New Roman"/>
        </w:rPr>
        <w:t>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na kraju izvještajnog razdoblja (šifre V001+V002-V004) i (šifre V007+V009)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70.352,35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Nedospjele obveze na dan 30. lipnja 2026. godine iznose ukupno 70.352,35 eura te se odnose na obveze za rashode poslovanja.
Najveći dio tog iznosa, odnosno 55.698,44 eura, čini trošak plaća za lipanj 2025. godine, trošak prijevoza zaposlenika, mjesečni trošak prehrane zaposlenih, te regres za lipanj 2025. godine.
</w:t>
      </w:r>
    </w:p>
    <w:p/>
    <w:p>
      <w:pPr>
        <w:jc w:val="center"/>
        <w:pStyle w:val="Normal"/>
        <w:spacing w:line="240" w:lineRule="auto"/>
        <w:keepNext/>
      </w:pPr>
      <w:r>
        <w:rPr>
          <w:sz w:val="28"/>
          <w:rFonts w:ascii="Times New Roman" w:hAnsi="Times New Roman"/>
        </w:rPr>
        <w:t>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6.400,31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Dječji vrtić Potočić Pisarovina na dan 30. lipnja 2026. evidentira dospjele nepodmirene obveze u ukupnom iznosu od 6.400,31 eura.
Navedeni iznos odnosi se na tekuće mjesečne obveze, uključujući nabavu namirnica za djecu, komunalne usluge, troškove električne energije i druge režijske troškove.
</w:t>
      </w:r>
    </w:p>
    <w:p/>
  </w:body>
</w:document>
</file>

<file path=word/styles.xml><?xml version="1.0" encoding="utf-8"?>
<w:styles xmlns:w="http://schemas.openxmlformats.org/wordprocessingml/2006/main">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744d32e593d5406a" /></Relationships>
</file>